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Bookman Old Style" w:hAnsi="Bookman Old Style"/>
          <w:b/>
          <w:bCs/>
          <w:sz w:val="18"/>
          <w:szCs w:val="18"/>
          <w:lang w:val="ro-RO"/>
        </w:rPr>
      </w:pPr>
      <w:r>
        <w:rPr>
          <w:rFonts w:hint="default" w:ascii="Bookman Old Style" w:hAnsi="Bookman Old Style"/>
          <w:b/>
          <w:bCs/>
          <w:sz w:val="18"/>
          <w:szCs w:val="18"/>
          <w:lang w:val="ro-RO"/>
        </w:rPr>
        <w:t>Formular</w:t>
      </w:r>
    </w:p>
    <w:p>
      <w:pPr>
        <w:pStyle w:val="2"/>
        <w:spacing w:line="240" w:lineRule="auto"/>
        <w:ind w:right="113"/>
        <w:jc w:val="center"/>
        <w:rPr>
          <w:rFonts w:hint="default" w:ascii="Verdana" w:hAnsi="Verdana" w:cs="Verdana"/>
          <w:b/>
          <w:sz w:val="16"/>
          <w:szCs w:val="16"/>
          <w:lang w:val="ro-RO"/>
        </w:rPr>
      </w:pPr>
    </w:p>
    <w:p>
      <w:pPr>
        <w:pStyle w:val="2"/>
        <w:spacing w:line="240" w:lineRule="auto"/>
        <w:ind w:right="113"/>
        <w:jc w:val="center"/>
        <w:rPr>
          <w:rFonts w:hint="default" w:ascii="Verdana" w:hAnsi="Verdana" w:cs="Verdana"/>
          <w:b/>
          <w:sz w:val="16"/>
          <w:szCs w:val="16"/>
          <w:lang w:val="ro-RO"/>
        </w:rPr>
      </w:pPr>
      <w:r>
        <w:rPr>
          <w:rFonts w:hint="default" w:ascii="Verdana" w:hAnsi="Verdana" w:cs="Verdana"/>
          <w:b/>
          <w:sz w:val="16"/>
          <w:szCs w:val="16"/>
          <w:lang w:val="ro-RO"/>
        </w:rPr>
        <w:t>PROPUNERE TEHNICĂ</w:t>
      </w:r>
    </w:p>
    <w:p>
      <w:pPr>
        <w:tabs>
          <w:tab w:val="left" w:pos="2380"/>
        </w:tabs>
        <w:ind w:right="-933" w:rightChars="-424"/>
        <w:jc w:val="both"/>
        <w:rPr>
          <w:rFonts w:hint="default" w:ascii="Verdana" w:hAnsi="Verdana" w:eastAsia="Times New Roman" w:cs="Verdana"/>
          <w:kern w:val="0"/>
          <w:sz w:val="18"/>
          <w:szCs w:val="18"/>
          <w:lang w:val="ro-RO" w:eastAsia="en-US" w:bidi="ar-SA"/>
        </w:rPr>
      </w:pPr>
    </w:p>
    <w:p>
      <w:pPr>
        <w:tabs>
          <w:tab w:val="left" w:pos="2380"/>
        </w:tabs>
        <w:ind w:left="-440" w:leftChars="-200" w:right="-933" w:rightChars="-424" w:firstLine="0" w:firstLineChars="0"/>
        <w:jc w:val="both"/>
        <w:rPr>
          <w:rFonts w:hint="default" w:ascii="Verdana" w:hAnsi="Verdana" w:eastAsia="Times New Roman" w:cs="Verdana"/>
          <w:b/>
          <w:bCs/>
          <w:kern w:val="0"/>
          <w:sz w:val="18"/>
          <w:szCs w:val="18"/>
          <w:lang w:val="ro-RO" w:eastAsia="en-US" w:bidi="ar-SA"/>
        </w:rPr>
      </w:pPr>
      <w:bookmarkStart w:id="1" w:name="_GoBack"/>
      <w:bookmarkEnd w:id="1"/>
      <w:r>
        <w:rPr>
          <w:rFonts w:hint="default" w:ascii="Verdana" w:hAnsi="Verdana" w:eastAsia="Times New Roman" w:cs="Verdana"/>
          <w:kern w:val="0"/>
          <w:sz w:val="18"/>
          <w:szCs w:val="18"/>
          <w:lang w:val="ro-RO" w:eastAsia="en-US" w:bidi="ar-SA"/>
        </w:rPr>
        <w:t xml:space="preserve">Subsemnatul, reprezentant împuternicit al ........................................................... </w:t>
      </w:r>
      <w:r>
        <w:rPr>
          <w:rFonts w:hint="default" w:ascii="Verdana" w:hAnsi="Verdana" w:eastAsia="Times New Roman" w:cs="Verdana"/>
          <w:i/>
          <w:kern w:val="0"/>
          <w:sz w:val="18"/>
          <w:szCs w:val="18"/>
          <w:lang w:val="ro-RO" w:eastAsia="en-US" w:bidi="ar-SA"/>
        </w:rPr>
        <w:t>(denumirea/numele şi sediul/adresa candidatului/ofertantului)</w:t>
      </w:r>
      <w:r>
        <w:rPr>
          <w:rFonts w:hint="default" w:ascii="Verdana" w:hAnsi="Verdana" w:eastAsia="Times New Roman" w:cs="Verdana"/>
          <w:kern w:val="0"/>
          <w:sz w:val="18"/>
          <w:szCs w:val="18"/>
          <w:lang w:val="ro-RO" w:eastAsia="en-US" w:bidi="ar-SA"/>
        </w:rPr>
        <w:t xml:space="preserve">, în calitate de canditat/ofertant asociat (se elimină optiunile neaplicabile) la procedura de ...................................................... (se inserează denumirea lucrarii), la data de .............................(se inserează data limită de depunere a ofertelor), organizată de Directia generală de asistentă socială Constanta, </w:t>
      </w:r>
      <w:r>
        <w:rPr>
          <w:rFonts w:hint="default" w:ascii="Verdana" w:hAnsi="Verdana" w:eastAsia="Times New Roman" w:cs="Verdana"/>
          <w:b/>
          <w:bCs/>
          <w:kern w:val="0"/>
          <w:sz w:val="18"/>
          <w:szCs w:val="18"/>
          <w:lang w:val="ro-RO" w:eastAsia="en-US" w:bidi="ar-SA"/>
        </w:rPr>
        <w:t>mă oblig să respect în totalitate cerintele prevăzute în caietul de sarcini. La elaborarea ofertei am tinut cont de obligatiile relevante din domeniul mediului, social si al relațiilor de muncă.</w:t>
      </w:r>
    </w:p>
    <w:p>
      <w:pPr>
        <w:tabs>
          <w:tab w:val="left" w:pos="2380"/>
        </w:tabs>
        <w:ind w:left="-440" w:leftChars="-200" w:right="-933" w:rightChars="-424" w:firstLine="0" w:firstLineChars="0"/>
        <w:jc w:val="both"/>
        <w:rPr>
          <w:rFonts w:hint="default" w:ascii="Verdana" w:hAnsi="Verdana" w:cs="Verdana"/>
          <w:b/>
          <w:bCs/>
          <w:sz w:val="18"/>
          <w:szCs w:val="18"/>
          <w:lang w:val="ro-RO"/>
        </w:rPr>
      </w:pPr>
      <w:r>
        <w:rPr>
          <w:rFonts w:hint="default" w:ascii="Verdana" w:hAnsi="Verdana" w:eastAsia="Times New Roman" w:cs="Verdana"/>
          <w:b/>
          <w:bCs/>
          <w:kern w:val="0"/>
          <w:sz w:val="18"/>
          <w:szCs w:val="18"/>
          <w:lang w:val="ro-RO" w:eastAsia="en-US" w:bidi="ar-SA"/>
        </w:rPr>
        <w:t>Examinand atat specificatiile tehnice cat si intreaga documentatie de atribuire, vă înaintăm oferta tehnică pentru fiecare serviciu solicitat in parte, după cum urmează:</w:t>
      </w:r>
    </w:p>
    <w:p>
      <w:pPr>
        <w:numPr>
          <w:ilvl w:val="0"/>
          <w:numId w:val="1"/>
        </w:numPr>
        <w:spacing w:after="0" w:line="240" w:lineRule="auto"/>
        <w:rPr>
          <w:rFonts w:ascii="Bookman Old Style" w:hAnsi="Bookman Old Style"/>
          <w:b/>
          <w:bCs/>
          <w:sz w:val="18"/>
          <w:szCs w:val="18"/>
          <w:lang w:val="ro-RO"/>
        </w:rPr>
      </w:pPr>
      <w:r>
        <w:rPr>
          <w:rFonts w:ascii="Times New Roman" w:hAnsi="Times New Roman"/>
        </w:rPr>
        <w:t xml:space="preserve">Servicii de imprimare si livrare a </w:t>
      </w:r>
      <w:r>
        <w:rPr>
          <w:rFonts w:hint="default" w:ascii="Times New Roman" w:hAnsi="Times New Roman"/>
          <w:lang w:val="ro-RO"/>
        </w:rPr>
        <w:t xml:space="preserve">plicurilor si </w:t>
      </w:r>
      <w:r>
        <w:rPr>
          <w:rFonts w:ascii="Times New Roman" w:hAnsi="Times New Roman"/>
        </w:rPr>
        <w:t xml:space="preserve">voucherelor </w:t>
      </w:r>
      <w:r>
        <w:rPr>
          <w:rFonts w:hint="default" w:ascii="Times New Roman" w:hAnsi="Times New Roman"/>
          <w:lang w:val="ro-RO"/>
        </w:rPr>
        <w:t>INFANT:</w:t>
      </w:r>
    </w:p>
    <w:p>
      <w:pPr>
        <w:numPr>
          <w:numId w:val="0"/>
        </w:numPr>
        <w:spacing w:after="0" w:line="240" w:lineRule="auto"/>
        <w:ind w:left="360" w:leftChars="0"/>
        <w:rPr>
          <w:rFonts w:ascii="Bookman Old Style" w:hAnsi="Bookman Old Style"/>
          <w:b/>
          <w:bCs/>
          <w:sz w:val="18"/>
          <w:szCs w:val="18"/>
          <w:lang w:val="ro-RO"/>
        </w:rPr>
      </w:pPr>
    </w:p>
    <w:tbl>
      <w:tblPr>
        <w:tblStyle w:val="5"/>
        <w:tblW w:w="10330"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7"/>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7" w:type="dxa"/>
            <w:shd w:val="clear" w:color="auto" w:fill="auto"/>
            <w:noWrap w:val="0"/>
            <w:vAlign w:val="top"/>
          </w:tcPr>
          <w:p>
            <w:pPr>
              <w:spacing w:after="0" w:line="240" w:lineRule="auto"/>
              <w:rPr>
                <w:rFonts w:hint="default" w:ascii="Verdana" w:hAnsi="Verdana" w:cs="Verdana"/>
                <w:b/>
                <w:sz w:val="18"/>
                <w:szCs w:val="18"/>
              </w:rPr>
            </w:pPr>
            <w:r>
              <w:rPr>
                <w:rFonts w:hint="default" w:ascii="Verdana" w:hAnsi="Verdana" w:cs="Verdana"/>
                <w:b/>
                <w:sz w:val="18"/>
                <w:szCs w:val="18"/>
              </w:rPr>
              <w:t>Specificatii tehnice solicitate</w:t>
            </w:r>
          </w:p>
        </w:tc>
        <w:tc>
          <w:tcPr>
            <w:tcW w:w="4433" w:type="dxa"/>
            <w:shd w:val="clear" w:color="auto" w:fill="auto"/>
            <w:noWrap w:val="0"/>
            <w:vAlign w:val="top"/>
          </w:tcPr>
          <w:p>
            <w:pPr>
              <w:spacing w:after="0" w:line="240" w:lineRule="auto"/>
              <w:rPr>
                <w:rFonts w:hint="default" w:ascii="Verdana" w:hAnsi="Verdana" w:cs="Verdana"/>
                <w:b/>
                <w:sz w:val="18"/>
                <w:szCs w:val="18"/>
              </w:rPr>
            </w:pPr>
            <w:r>
              <w:rPr>
                <w:rFonts w:hint="default" w:ascii="Verdana" w:hAnsi="Verdana" w:cs="Verdana"/>
                <w:b/>
                <w:sz w:val="18"/>
                <w:szCs w:val="18"/>
              </w:rPr>
              <w:t>Specificatii tehnice conformitate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7" w:type="dxa"/>
            <w:shd w:val="clear" w:color="auto" w:fill="auto"/>
            <w:noWrap w:val="0"/>
            <w:vAlign w:val="top"/>
          </w:tcPr>
          <w:p>
            <w:pPr>
              <w:spacing w:after="0" w:line="240" w:lineRule="auto"/>
              <w:rPr>
                <w:rFonts w:hint="default" w:ascii="Verdana" w:hAnsi="Verdana" w:cs="Verdana"/>
                <w:i w:val="0"/>
                <w:iCs/>
                <w:sz w:val="18"/>
                <w:szCs w:val="18"/>
                <w:lang w:val="ro-RO"/>
              </w:rPr>
            </w:pPr>
            <w:r>
              <w:rPr>
                <w:rFonts w:hint="default" w:ascii="Verdana" w:hAnsi="Verdana" w:cs="Verdana"/>
                <w:i w:val="0"/>
                <w:iCs/>
                <w:sz w:val="18"/>
                <w:szCs w:val="18"/>
                <w:lang w:val="ro-RO"/>
              </w:rPr>
              <w:t>Fiecare beneficiar va primi un plic nesigilat continand un voucher cu valoarea nominala de 10.000 lei/voucher.</w:t>
            </w:r>
          </w:p>
          <w:p>
            <w:pPr>
              <w:spacing w:after="0" w:line="240" w:lineRule="auto"/>
              <w:rPr>
                <w:rFonts w:hint="default" w:ascii="Verdana" w:hAnsi="Verdana" w:cs="Verdana"/>
                <w:i w:val="0"/>
                <w:iCs/>
                <w:sz w:val="18"/>
                <w:szCs w:val="18"/>
                <w:lang w:val="ro-RO"/>
              </w:rPr>
            </w:pPr>
            <w:r>
              <w:rPr>
                <w:rFonts w:hint="default" w:ascii="Verdana" w:hAnsi="Verdana" w:cs="Verdana"/>
                <w:i w:val="0"/>
                <w:iCs/>
                <w:sz w:val="18"/>
                <w:szCs w:val="18"/>
                <w:lang w:val="ro-RO"/>
              </w:rPr>
              <w:t>Plicurile nesigilate si v</w:t>
            </w:r>
            <w:r>
              <w:rPr>
                <w:rFonts w:hint="default" w:ascii="Verdana" w:hAnsi="Verdana" w:cs="Verdana"/>
                <w:i w:val="0"/>
                <w:iCs/>
                <w:sz w:val="18"/>
                <w:szCs w:val="18"/>
              </w:rPr>
              <w:t xml:space="preserve">oucherul </w:t>
            </w:r>
            <w:r>
              <w:rPr>
                <w:rFonts w:hint="default" w:ascii="Verdana" w:hAnsi="Verdana" w:cs="Verdana"/>
                <w:i w:val="0"/>
                <w:iCs/>
                <w:sz w:val="18"/>
                <w:szCs w:val="18"/>
                <w:lang w:val="ro-RO"/>
              </w:rPr>
              <w:t>vor avea inscriptionate: sigla municipiului Constanta in format color, sigla Directia Generala de Asistenta Sociala Constanta in format color, logo-ul proiectului “INFANT” in format color si numele si prenumele beneficiarului scrise cu negru.</w:t>
            </w:r>
          </w:p>
          <w:p>
            <w:pPr>
              <w:spacing w:after="0" w:line="240" w:lineRule="auto"/>
              <w:rPr>
                <w:rFonts w:hint="default" w:ascii="Verdana" w:hAnsi="Verdana" w:cs="Verdana"/>
                <w:i w:val="0"/>
                <w:iCs/>
                <w:sz w:val="18"/>
                <w:szCs w:val="18"/>
              </w:rPr>
            </w:pPr>
            <w:r>
              <w:rPr>
                <w:rFonts w:hint="default" w:ascii="Verdana" w:hAnsi="Verdana" w:cs="Verdana"/>
                <w:i w:val="0"/>
                <w:iCs/>
                <w:sz w:val="18"/>
                <w:szCs w:val="18"/>
                <w:lang w:val="ro-RO"/>
              </w:rPr>
              <w:t xml:space="preserve">Voucherul </w:t>
            </w:r>
            <w:r>
              <w:rPr>
                <w:rFonts w:hint="default" w:ascii="Verdana" w:hAnsi="Verdana" w:cs="Verdana"/>
                <w:i w:val="0"/>
                <w:iCs/>
                <w:sz w:val="18"/>
                <w:szCs w:val="18"/>
              </w:rPr>
              <w:t>va contine, in mod obligatoriu, urmatoarele elemente:</w:t>
            </w:r>
          </w:p>
          <w:p>
            <w:pPr>
              <w:spacing w:after="0" w:line="240" w:lineRule="auto"/>
              <w:rPr>
                <w:rFonts w:hint="default" w:ascii="Verdana" w:hAnsi="Verdana" w:cs="Verdana"/>
                <w:i/>
                <w:sz w:val="18"/>
                <w:szCs w:val="18"/>
              </w:rPr>
            </w:pPr>
          </w:p>
          <w:p>
            <w:pPr>
              <w:pStyle w:val="2"/>
              <w:ind w:right="113"/>
              <w:rPr>
                <w:rFonts w:hint="default" w:ascii="Verdana" w:hAnsi="Verdana" w:eastAsia="Verdana" w:cs="Verdana"/>
                <w:sz w:val="18"/>
                <w:szCs w:val="18"/>
              </w:rPr>
            </w:pPr>
            <w:r>
              <w:rPr>
                <w:rFonts w:hint="default" w:ascii="Verdana" w:hAnsi="Verdana" w:eastAsia="Verdana" w:cs="Verdana"/>
                <w:sz w:val="18"/>
                <w:szCs w:val="18"/>
              </w:rPr>
              <w:t>a. Denumirea și siglele instituțiilor organizatoare ale proiectului “INFANT”;</w:t>
            </w:r>
          </w:p>
          <w:p>
            <w:pPr>
              <w:pStyle w:val="2"/>
              <w:ind w:right="113"/>
              <w:rPr>
                <w:rFonts w:hint="default" w:ascii="Verdana" w:hAnsi="Verdana" w:eastAsia="Verdana" w:cs="Verdana"/>
                <w:sz w:val="18"/>
                <w:szCs w:val="18"/>
              </w:rPr>
            </w:pPr>
            <w:r>
              <w:rPr>
                <w:rFonts w:hint="default" w:ascii="Verdana" w:hAnsi="Verdana" w:eastAsia="Verdana" w:cs="Verdana"/>
                <w:sz w:val="18"/>
                <w:szCs w:val="18"/>
              </w:rPr>
              <w:t>b. Denumirea și sigla proiectului “INFANT”;</w:t>
            </w:r>
          </w:p>
          <w:p>
            <w:pPr>
              <w:pStyle w:val="2"/>
              <w:ind w:right="113"/>
              <w:rPr>
                <w:rFonts w:hint="default" w:ascii="Verdana" w:hAnsi="Verdana" w:eastAsia="Verdana" w:cs="Verdana"/>
                <w:sz w:val="18"/>
                <w:szCs w:val="18"/>
              </w:rPr>
            </w:pPr>
            <w:r>
              <w:rPr>
                <w:rFonts w:hint="default" w:ascii="Verdana" w:hAnsi="Verdana" w:eastAsia="Verdana" w:cs="Verdana"/>
                <w:sz w:val="18"/>
                <w:szCs w:val="18"/>
              </w:rPr>
              <w:t>c. Denumirea unității emitente;</w:t>
            </w:r>
          </w:p>
          <w:p>
            <w:pPr>
              <w:pStyle w:val="2"/>
              <w:ind w:right="113"/>
              <w:rPr>
                <w:rFonts w:hint="default" w:ascii="Verdana" w:hAnsi="Verdana" w:eastAsia="Verdana" w:cs="Verdana"/>
                <w:sz w:val="18"/>
                <w:szCs w:val="18"/>
              </w:rPr>
            </w:pPr>
            <w:r>
              <w:rPr>
                <w:rFonts w:hint="default" w:ascii="Verdana" w:hAnsi="Verdana" w:eastAsia="Verdana" w:cs="Verdana"/>
                <w:sz w:val="18"/>
                <w:szCs w:val="18"/>
              </w:rPr>
              <w:t>d. Valoarea voucherului;</w:t>
            </w:r>
          </w:p>
          <w:p>
            <w:pPr>
              <w:pStyle w:val="2"/>
              <w:ind w:right="113"/>
              <w:rPr>
                <w:rFonts w:hint="default" w:ascii="Verdana" w:hAnsi="Verdana" w:eastAsia="Verdana" w:cs="Verdana"/>
                <w:sz w:val="18"/>
                <w:szCs w:val="18"/>
              </w:rPr>
            </w:pPr>
            <w:r>
              <w:rPr>
                <w:rFonts w:hint="default" w:ascii="Verdana" w:hAnsi="Verdana" w:eastAsia="Verdana" w:cs="Verdana"/>
                <w:sz w:val="18"/>
                <w:szCs w:val="18"/>
              </w:rPr>
              <w:t>e. Nume și prenume beneficiar;</w:t>
            </w:r>
          </w:p>
          <w:p>
            <w:pPr>
              <w:pStyle w:val="2"/>
              <w:ind w:right="113"/>
              <w:rPr>
                <w:rFonts w:hint="default" w:ascii="Verdana" w:hAnsi="Verdana" w:eastAsia="Verdana" w:cs="Verdana"/>
                <w:sz w:val="18"/>
                <w:szCs w:val="18"/>
              </w:rPr>
            </w:pPr>
            <w:r>
              <w:rPr>
                <w:rFonts w:hint="default" w:ascii="Verdana" w:hAnsi="Verdana" w:eastAsia="Verdana" w:cs="Verdana"/>
                <w:sz w:val="18"/>
                <w:szCs w:val="18"/>
              </w:rPr>
              <w:t>f. Codul numeric personal;</w:t>
            </w:r>
          </w:p>
          <w:p>
            <w:pPr>
              <w:pStyle w:val="2"/>
              <w:ind w:right="113"/>
              <w:rPr>
                <w:rFonts w:hint="default" w:ascii="Verdana" w:hAnsi="Verdana" w:eastAsia="Verdana" w:cs="Verdana"/>
                <w:sz w:val="18"/>
                <w:szCs w:val="18"/>
              </w:rPr>
            </w:pPr>
            <w:r>
              <w:rPr>
                <w:rFonts w:hint="default" w:ascii="Verdana" w:hAnsi="Verdana" w:eastAsia="Verdana" w:cs="Verdana"/>
                <w:sz w:val="18"/>
                <w:szCs w:val="18"/>
              </w:rPr>
              <w:t>g. Valabilitatea voucherului (12 luni de la data emiterii);</w:t>
            </w:r>
          </w:p>
          <w:p>
            <w:pPr>
              <w:pStyle w:val="2"/>
              <w:ind w:right="113"/>
              <w:rPr>
                <w:rFonts w:hint="default" w:ascii="Verdana" w:hAnsi="Verdana" w:eastAsia="Verdana" w:cs="Verdana"/>
                <w:sz w:val="18"/>
                <w:szCs w:val="18"/>
              </w:rPr>
            </w:pPr>
            <w:r>
              <w:rPr>
                <w:rFonts w:hint="default" w:ascii="Verdana" w:hAnsi="Verdana" w:eastAsia="Verdana" w:cs="Verdana"/>
                <w:sz w:val="18"/>
                <w:szCs w:val="18"/>
              </w:rPr>
              <w:t>h. Seria voucherului;</w:t>
            </w:r>
          </w:p>
          <w:p>
            <w:pPr>
              <w:pStyle w:val="2"/>
              <w:ind w:right="113"/>
              <w:rPr>
                <w:rFonts w:hint="default" w:ascii="Verdana" w:hAnsi="Verdana" w:eastAsia="Verdana" w:cs="Verdana"/>
                <w:sz w:val="18"/>
                <w:szCs w:val="18"/>
              </w:rPr>
            </w:pPr>
            <w:r>
              <w:rPr>
                <w:rFonts w:hint="default" w:ascii="Verdana" w:hAnsi="Verdana" w:eastAsia="Verdana" w:cs="Verdana"/>
                <w:sz w:val="18"/>
                <w:szCs w:val="18"/>
              </w:rPr>
              <w:t>i.</w:t>
            </w:r>
            <w:r>
              <w:rPr>
                <w:rFonts w:hint="default" w:ascii="Verdana" w:hAnsi="Verdana" w:eastAsia="Verdana" w:cs="Verdana"/>
                <w:sz w:val="18"/>
                <w:szCs w:val="18"/>
              </w:rPr>
              <w:tab/>
            </w:r>
            <w:r>
              <w:rPr>
                <w:rFonts w:hint="default" w:ascii="Verdana" w:hAnsi="Verdana" w:eastAsia="Verdana" w:cs="Verdana"/>
                <w:sz w:val="18"/>
                <w:szCs w:val="18"/>
              </w:rPr>
              <w:t xml:space="preserve"> Condiții de utilizare a voucherului</w:t>
            </w:r>
          </w:p>
          <w:p>
            <w:pPr>
              <w:spacing w:after="0" w:line="240" w:lineRule="auto"/>
              <w:rPr>
                <w:rFonts w:hint="default" w:ascii="Verdana" w:hAnsi="Verdana" w:cs="Verdana"/>
                <w:b/>
                <w:i/>
                <w:sz w:val="18"/>
                <w:szCs w:val="18"/>
              </w:rPr>
            </w:pPr>
          </w:p>
        </w:tc>
        <w:tc>
          <w:tcPr>
            <w:tcW w:w="4433" w:type="dxa"/>
            <w:shd w:val="clear" w:color="auto" w:fill="auto"/>
            <w:noWrap w:val="0"/>
            <w:vAlign w:val="top"/>
          </w:tcPr>
          <w:p>
            <w:pPr>
              <w:spacing w:after="0" w:line="240" w:lineRule="auto"/>
              <w:rPr>
                <w:rFonts w:hint="default" w:ascii="Verdana" w:hAnsi="Verdana" w:cs="Verdan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7" w:type="dxa"/>
            <w:shd w:val="clear" w:color="auto" w:fill="auto"/>
            <w:noWrap w:val="0"/>
            <w:vAlign w:val="top"/>
          </w:tcPr>
          <w:p>
            <w:pPr>
              <w:pStyle w:val="2"/>
              <w:ind w:right="113"/>
              <w:rPr>
                <w:rFonts w:hint="default" w:ascii="Verdana" w:hAnsi="Verdana" w:eastAsia="Verdana" w:cs="Verdana"/>
                <w:sz w:val="18"/>
                <w:szCs w:val="18"/>
              </w:rPr>
            </w:pPr>
            <w:r>
              <w:rPr>
                <w:rFonts w:hint="default" w:ascii="Verdana" w:hAnsi="Verdana" w:eastAsia="Verdana" w:cs="Verdana"/>
                <w:sz w:val="18"/>
                <w:szCs w:val="18"/>
              </w:rPr>
              <w:t>Pentru realizarea și imprimarea voucherelor se va utiliza suport tehnic special (hârtie pentru imprimat) cu particularități distincte care să nu permită falsificarea acestora (cel puțin hârtie fluorescentă care își schimbă culoarea în cazul în care tichetul este fotocopiat, microlinii care nu se disting la fotocopiere, bandă cu reflexe variabile, codul de bare al unității emitente, care conține cel puțin următoarele elemente: seria tichetului, anul de valabilitate și valoarea nominală a acestuia).</w:t>
            </w:r>
          </w:p>
          <w:p>
            <w:pPr>
              <w:spacing w:after="0" w:line="240" w:lineRule="auto"/>
              <w:rPr>
                <w:rFonts w:hint="default" w:ascii="Verdana" w:hAnsi="Verdana" w:cs="Verdana"/>
                <w:i/>
                <w:sz w:val="18"/>
                <w:szCs w:val="18"/>
              </w:rPr>
            </w:pPr>
          </w:p>
        </w:tc>
        <w:tc>
          <w:tcPr>
            <w:tcW w:w="4433" w:type="dxa"/>
            <w:shd w:val="clear" w:color="auto" w:fill="auto"/>
            <w:noWrap w:val="0"/>
            <w:vAlign w:val="top"/>
          </w:tcPr>
          <w:p>
            <w:pPr>
              <w:spacing w:after="0" w:line="240" w:lineRule="auto"/>
              <w:rPr>
                <w:rFonts w:hint="default" w:ascii="Verdana" w:hAnsi="Verdana" w:cs="Verdan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7" w:type="dxa"/>
            <w:shd w:val="clear" w:color="auto" w:fill="auto"/>
            <w:noWrap w:val="0"/>
            <w:vAlign w:val="top"/>
          </w:tcPr>
          <w:p>
            <w:pPr>
              <w:pStyle w:val="2"/>
              <w:rPr>
                <w:rFonts w:hint="default" w:ascii="Verdana" w:hAnsi="Verdana" w:cs="Verdana"/>
                <w:sz w:val="18"/>
                <w:szCs w:val="18"/>
              </w:rPr>
            </w:pPr>
            <w:r>
              <w:rPr>
                <w:rFonts w:hint="default" w:ascii="Verdana" w:hAnsi="Verdana" w:cs="Verdana"/>
                <w:sz w:val="18"/>
                <w:szCs w:val="18"/>
              </w:rPr>
              <w:t>Imprimarea și pregătirea voucherelor și a plicurilor se va face pe baza comenzilor transmise de către autoritatea contractantă și va avea atașată în format electronic lista beneficiarilor (excel), conținând datele de identificare ale acestora: nume, prenume și cod numeric personal.</w:t>
            </w:r>
          </w:p>
          <w:p>
            <w:pPr>
              <w:spacing w:after="0" w:line="240" w:lineRule="auto"/>
              <w:rPr>
                <w:rFonts w:hint="default" w:ascii="Verdana" w:hAnsi="Verdana" w:cs="Verdana"/>
                <w:b/>
                <w:i/>
                <w:sz w:val="18"/>
                <w:szCs w:val="18"/>
              </w:rPr>
            </w:pPr>
          </w:p>
        </w:tc>
        <w:tc>
          <w:tcPr>
            <w:tcW w:w="4433" w:type="dxa"/>
            <w:shd w:val="clear" w:color="auto" w:fill="auto"/>
            <w:noWrap w:val="0"/>
            <w:vAlign w:val="top"/>
          </w:tcPr>
          <w:p>
            <w:pPr>
              <w:spacing w:after="0" w:line="240" w:lineRule="auto"/>
              <w:rPr>
                <w:rFonts w:hint="default" w:ascii="Verdana" w:hAnsi="Verdana" w:cs="Verdan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897" w:type="dxa"/>
            <w:shd w:val="clear" w:color="auto" w:fill="auto"/>
            <w:noWrap w:val="0"/>
            <w:vAlign w:val="top"/>
          </w:tcPr>
          <w:p>
            <w:pPr>
              <w:suppressAutoHyphens w:val="0"/>
              <w:spacing w:after="0" w:line="240" w:lineRule="auto"/>
              <w:jc w:val="both"/>
              <w:rPr>
                <w:rFonts w:hint="default" w:ascii="Verdana" w:hAnsi="Verdana" w:cs="Verdana"/>
                <w:i/>
                <w:sz w:val="18"/>
                <w:szCs w:val="18"/>
              </w:rPr>
            </w:pPr>
            <w:r>
              <w:rPr>
                <w:rFonts w:hint="default" w:ascii="Verdana" w:hAnsi="Verdana" w:eastAsia="Verdana" w:cs="Verdana"/>
                <w:sz w:val="18"/>
                <w:szCs w:val="18"/>
              </w:rPr>
              <w:t>După realizarea voucherelor, prestatorul va transmite autorității contractante împreună cu plicurile și voucherele lista în format electronic (excel), con</w:t>
            </w:r>
            <w:r>
              <w:rPr>
                <w:rFonts w:hint="default" w:ascii="Verdana" w:hAnsi="Verdana" w:eastAsia="Verdana" w:cs="Verdana"/>
                <w:sz w:val="18"/>
                <w:szCs w:val="18"/>
                <w:lang w:val="ro-RO"/>
              </w:rPr>
              <w:t>ț</w:t>
            </w:r>
            <w:r>
              <w:rPr>
                <w:rFonts w:hint="default" w:ascii="Verdana" w:hAnsi="Verdana" w:eastAsia="Verdana" w:cs="Verdana"/>
                <w:sz w:val="18"/>
                <w:szCs w:val="18"/>
              </w:rPr>
              <w:t>in</w:t>
            </w:r>
            <w:r>
              <w:rPr>
                <w:rFonts w:hint="default" w:ascii="Verdana" w:hAnsi="Verdana" w:eastAsia="Verdana" w:cs="Verdana"/>
                <w:sz w:val="18"/>
                <w:szCs w:val="18"/>
                <w:lang w:val="ro-RO"/>
              </w:rPr>
              <w:t>â</w:t>
            </w:r>
            <w:r>
              <w:rPr>
                <w:rFonts w:hint="default" w:ascii="Verdana" w:hAnsi="Verdana" w:eastAsia="Verdana" w:cs="Verdana"/>
                <w:sz w:val="18"/>
                <w:szCs w:val="18"/>
              </w:rPr>
              <w:t>nd datele de identificare ale beneficiarilor și numerele sub care au fost înseriate voucherele de către prestator.</w:t>
            </w:r>
          </w:p>
        </w:tc>
        <w:tc>
          <w:tcPr>
            <w:tcW w:w="4433" w:type="dxa"/>
            <w:shd w:val="clear" w:color="auto" w:fill="auto"/>
            <w:noWrap w:val="0"/>
            <w:vAlign w:val="top"/>
          </w:tcPr>
          <w:p>
            <w:pPr>
              <w:spacing w:after="0" w:line="240" w:lineRule="auto"/>
              <w:rPr>
                <w:rFonts w:hint="default" w:ascii="Verdana" w:hAnsi="Verdana" w:cs="Verdana"/>
                <w:b/>
                <w:sz w:val="18"/>
                <w:szCs w:val="18"/>
              </w:rPr>
            </w:pPr>
          </w:p>
        </w:tc>
      </w:tr>
    </w:tbl>
    <w:p>
      <w:pPr>
        <w:rPr>
          <w:rFonts w:hint="default" w:ascii="Verdana" w:hAnsi="Verdana" w:cs="Verdana"/>
          <w:sz w:val="18"/>
          <w:szCs w:val="18"/>
        </w:rPr>
      </w:pPr>
    </w:p>
    <w:p>
      <w:pPr>
        <w:numPr>
          <w:ilvl w:val="0"/>
          <w:numId w:val="1"/>
        </w:numPr>
        <w:ind w:left="720" w:leftChars="0" w:hanging="360" w:firstLineChars="0"/>
        <w:rPr>
          <w:rFonts w:hint="default" w:ascii="Verdana" w:hAnsi="Verdana" w:cs="Verdana"/>
          <w:sz w:val="18"/>
          <w:szCs w:val="18"/>
          <w:lang w:val="ro-RO"/>
        </w:rPr>
      </w:pPr>
      <w:r>
        <w:rPr>
          <w:rFonts w:hint="default" w:ascii="Verdana" w:hAnsi="Verdana" w:cs="Verdana"/>
          <w:sz w:val="18"/>
          <w:szCs w:val="18"/>
          <w:lang w:val="ro-RO"/>
        </w:rPr>
        <w:t>Selectia unitatilor sanitare publice si private, cu statut de afiliati, la care sa se poata a fi utilizate voucherele INFANT de catre beneficiari si incheierea de contracte de afiliere:</w:t>
      </w:r>
    </w:p>
    <w:tbl>
      <w:tblPr>
        <w:tblStyle w:val="5"/>
        <w:tblW w:w="10319"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7"/>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7" w:type="dxa"/>
            <w:shd w:val="clear" w:color="auto" w:fill="auto"/>
            <w:noWrap w:val="0"/>
            <w:vAlign w:val="top"/>
          </w:tcPr>
          <w:p>
            <w:pPr>
              <w:spacing w:after="0" w:line="240" w:lineRule="auto"/>
              <w:rPr>
                <w:rFonts w:hint="default" w:ascii="Verdana" w:hAnsi="Verdana" w:cs="Verdana"/>
                <w:b/>
                <w:sz w:val="18"/>
                <w:szCs w:val="18"/>
              </w:rPr>
            </w:pPr>
            <w:r>
              <w:rPr>
                <w:rFonts w:hint="default" w:ascii="Verdana" w:hAnsi="Verdana" w:cs="Verdana"/>
                <w:b/>
                <w:sz w:val="18"/>
                <w:szCs w:val="18"/>
              </w:rPr>
              <w:t>Specificatii tehnice solicitate</w:t>
            </w:r>
          </w:p>
        </w:tc>
        <w:tc>
          <w:tcPr>
            <w:tcW w:w="4402" w:type="dxa"/>
            <w:shd w:val="clear" w:color="auto" w:fill="auto"/>
            <w:noWrap w:val="0"/>
            <w:vAlign w:val="top"/>
          </w:tcPr>
          <w:p>
            <w:pPr>
              <w:spacing w:after="0" w:line="240" w:lineRule="auto"/>
              <w:rPr>
                <w:rFonts w:hint="default" w:ascii="Verdana" w:hAnsi="Verdana" w:cs="Verdana"/>
                <w:b/>
                <w:sz w:val="18"/>
                <w:szCs w:val="18"/>
              </w:rPr>
            </w:pPr>
            <w:r>
              <w:rPr>
                <w:rFonts w:hint="default" w:ascii="Verdana" w:hAnsi="Verdana" w:cs="Verdana"/>
                <w:b/>
                <w:sz w:val="18"/>
                <w:szCs w:val="18"/>
              </w:rPr>
              <w:t>Specificatii tehnice conformitate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7" w:type="dxa"/>
            <w:shd w:val="clear" w:color="auto" w:fill="auto"/>
            <w:noWrap w:val="0"/>
            <w:vAlign w:val="top"/>
          </w:tcPr>
          <w:p>
            <w:pPr>
              <w:pStyle w:val="2"/>
              <w:ind w:right="113"/>
              <w:rPr>
                <w:rFonts w:hint="default" w:ascii="Verdana" w:hAnsi="Verdana" w:cs="Verdana"/>
                <w:sz w:val="18"/>
                <w:szCs w:val="18"/>
              </w:rPr>
            </w:pPr>
            <w:r>
              <w:rPr>
                <w:rFonts w:hint="default" w:ascii="Verdana" w:hAnsi="Verdana" w:cs="Verdana"/>
                <w:sz w:val="18"/>
                <w:szCs w:val="18"/>
              </w:rPr>
              <w:t xml:space="preserve">Selecția unităților sanitare publice și private se va face printr-o procedură transparentă și se vor avea în vedere următoarele condiții obligatorii pe care acestea trebuie să le îndeplinească:  </w:t>
            </w:r>
          </w:p>
          <w:p>
            <w:pPr>
              <w:pStyle w:val="2"/>
              <w:ind w:right="113"/>
              <w:rPr>
                <w:rFonts w:hint="default" w:ascii="Verdana" w:hAnsi="Verdana" w:cs="Verdana"/>
                <w:sz w:val="18"/>
                <w:szCs w:val="18"/>
              </w:rPr>
            </w:pPr>
            <w:r>
              <w:rPr>
                <w:rFonts w:hint="default" w:ascii="Verdana" w:hAnsi="Verdana" w:cs="Verdana"/>
                <w:sz w:val="18"/>
                <w:szCs w:val="18"/>
              </w:rPr>
              <w:t>- să dețină acreditare valabilă pentru activitatea de prelevare de celule reproductive umane, pentru banca de celule reproductive (procesare, conservare, stocare și distribuție) și utilizare de celule umane în scop terapeutic (fertilizare in vitro) emisă în conditiile legii;</w:t>
            </w:r>
          </w:p>
          <w:p>
            <w:pPr>
              <w:pStyle w:val="2"/>
              <w:ind w:right="113"/>
              <w:rPr>
                <w:rFonts w:hint="default" w:ascii="Verdana" w:hAnsi="Verdana" w:cs="Verdana"/>
                <w:sz w:val="18"/>
                <w:szCs w:val="18"/>
              </w:rPr>
            </w:pPr>
            <w:r>
              <w:rPr>
                <w:rFonts w:hint="default" w:ascii="Verdana" w:hAnsi="Verdana" w:cs="Verdana"/>
                <w:sz w:val="18"/>
                <w:szCs w:val="18"/>
              </w:rPr>
              <w:t>- să facă dovada asigurării de răspundere civilă în domeniul medical, atât pentru unitatea sanitară, cât și pentru personalul medico-sanitar angajat, valabilă la data includerii în proiectul “INFANT”, cu obligația de a o reînnoi pe toată perioada derulării proiectului;</w:t>
            </w:r>
          </w:p>
          <w:p>
            <w:pPr>
              <w:pStyle w:val="2"/>
              <w:ind w:right="113"/>
              <w:rPr>
                <w:rFonts w:hint="default" w:ascii="Verdana" w:hAnsi="Verdana" w:cs="Verdana"/>
                <w:sz w:val="18"/>
                <w:szCs w:val="18"/>
              </w:rPr>
            </w:pPr>
            <w:r>
              <w:rPr>
                <w:rFonts w:hint="default" w:ascii="Verdana" w:hAnsi="Verdana" w:cs="Verdana"/>
                <w:sz w:val="18"/>
                <w:szCs w:val="18"/>
              </w:rPr>
              <w:t>- să facă dovada plății la zi a contribuției la Fondul pentru Asigurări Sociale de Sănătate și a contribuției pentru concedii și indemnizații, efectuată conform prevederilor legale;</w:t>
            </w:r>
          </w:p>
          <w:p>
            <w:pPr>
              <w:pStyle w:val="2"/>
              <w:ind w:right="113"/>
              <w:rPr>
                <w:rFonts w:hint="default" w:ascii="Verdana" w:hAnsi="Verdana" w:cs="Verdana"/>
                <w:sz w:val="18"/>
                <w:szCs w:val="18"/>
              </w:rPr>
            </w:pPr>
            <w:r>
              <w:rPr>
                <w:rFonts w:hint="default" w:ascii="Verdana" w:hAnsi="Verdana" w:cs="Verdana"/>
                <w:sz w:val="18"/>
                <w:szCs w:val="18"/>
              </w:rPr>
              <w:t>- să dețină documente doveditoare prin care personalul medico-sanitar își exercită profesia în cadrul unității sanitare;</w:t>
            </w:r>
          </w:p>
          <w:p>
            <w:pPr>
              <w:pStyle w:val="2"/>
              <w:ind w:right="113"/>
              <w:rPr>
                <w:rFonts w:hint="default" w:ascii="Verdana" w:hAnsi="Verdana" w:cs="Verdana"/>
                <w:sz w:val="18"/>
                <w:szCs w:val="18"/>
              </w:rPr>
            </w:pPr>
            <w:r>
              <w:rPr>
                <w:rFonts w:hint="default" w:ascii="Verdana" w:hAnsi="Verdana" w:cs="Verdana"/>
                <w:sz w:val="18"/>
                <w:szCs w:val="18"/>
              </w:rPr>
              <w:t>- să facă dovada realizării a minimum 100 de proceduri fertilizare in vitro și embriotransfer, în ultimii doi ani calendaristici, demonstrată prin raportarea către Agenția Națională de Transplant de către unitatea sanitară publică sau privată sau de medicul specialist în obstetrică-ginecologie cu competență în tratamentul infertilității cuplului în reproducere umană asistată medical cu care unitatea sanitară deține o formă de colaborare legală;</w:t>
            </w:r>
          </w:p>
          <w:p>
            <w:pPr>
              <w:pStyle w:val="2"/>
              <w:ind w:right="113"/>
              <w:rPr>
                <w:rFonts w:hint="default" w:ascii="Verdana" w:hAnsi="Verdana" w:cs="Verdana"/>
                <w:sz w:val="18"/>
                <w:szCs w:val="18"/>
              </w:rPr>
            </w:pPr>
            <w:r>
              <w:rPr>
                <w:rFonts w:hint="default" w:ascii="Verdana" w:hAnsi="Verdana" w:cs="Verdana"/>
                <w:sz w:val="18"/>
                <w:szCs w:val="18"/>
              </w:rPr>
              <w:t>- rata de sarcini demonstrată să fie de peste 25 la sută din numărul total de proceduri realizate;</w:t>
            </w:r>
          </w:p>
          <w:p>
            <w:pPr>
              <w:spacing w:after="0" w:line="240" w:lineRule="auto"/>
              <w:rPr>
                <w:rFonts w:hint="default" w:ascii="Verdana" w:hAnsi="Verdana" w:cs="Verdana"/>
                <w:b/>
                <w:i/>
                <w:sz w:val="18"/>
                <w:szCs w:val="18"/>
                <w:lang w:val="ro-RO"/>
              </w:rPr>
            </w:pPr>
            <w:r>
              <w:rPr>
                <w:rFonts w:hint="default" w:ascii="Verdana" w:hAnsi="Verdana" w:cs="Verdana"/>
                <w:sz w:val="18"/>
                <w:szCs w:val="18"/>
              </w:rPr>
              <w:t>- personalul medical din cadrul unității sanitare să dețină documente, valabile la data includerii în proiectul “INFANT”, care certifică exercitarea profesiei conform reglementărilor legale în vigoare, după cum urmează: certificatul de membru al Colegiului Medicilor din România pentru medici, certificat de competență sau atestat de studii complementare în domeniul tratamentului infertilității cuplului și reproducerii umane asistate medical pentru medicii de specialitate obstetrică-ginecologie, certificat de competență în domeniul embriologiei umane emis de o autoritate europeană - pentru embriologi, acreditată internațional, autorizația de liberă practică pentru personalul mediu sanitar, certificatul de membru al Ordinului Asistenților Medicali Generaliști, Moașelor și Asistenților Medicali din România pentru personalul mediu sanitar valabile la data includerii in proiectul “INFANT”</w:t>
            </w:r>
            <w:r>
              <w:rPr>
                <w:rFonts w:hint="default" w:ascii="Verdana" w:hAnsi="Verdana" w:cs="Verdana"/>
                <w:sz w:val="18"/>
                <w:szCs w:val="18"/>
                <w:lang w:val="ro-RO"/>
              </w:rPr>
              <w:t>.</w:t>
            </w:r>
          </w:p>
        </w:tc>
        <w:tc>
          <w:tcPr>
            <w:tcW w:w="4402" w:type="dxa"/>
            <w:shd w:val="clear" w:color="auto" w:fill="auto"/>
            <w:noWrap w:val="0"/>
            <w:vAlign w:val="top"/>
          </w:tcPr>
          <w:p>
            <w:pPr>
              <w:spacing w:after="0" w:line="240" w:lineRule="auto"/>
              <w:rPr>
                <w:rFonts w:hint="default" w:ascii="Verdana" w:hAnsi="Verdana" w:cs="Verdan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7" w:type="dxa"/>
            <w:shd w:val="clear" w:color="auto" w:fill="auto"/>
            <w:noWrap w:val="0"/>
            <w:vAlign w:val="top"/>
          </w:tcPr>
          <w:p>
            <w:pPr>
              <w:pStyle w:val="2"/>
              <w:ind w:right="113"/>
              <w:rPr>
                <w:rFonts w:hint="default" w:ascii="Verdana" w:hAnsi="Verdana" w:cs="Verdana"/>
                <w:sz w:val="18"/>
                <w:szCs w:val="18"/>
              </w:rPr>
            </w:pPr>
            <w:r>
              <w:rPr>
                <w:rFonts w:hint="default" w:ascii="Verdana" w:hAnsi="Verdana" w:cs="Verdana"/>
                <w:sz w:val="18"/>
                <w:szCs w:val="18"/>
              </w:rPr>
              <w:t>În baza derularii procedurii de selecție se vor stabili unitățile sanitare care vor deveni partenere în proiect.</w:t>
            </w:r>
          </w:p>
          <w:p>
            <w:pPr>
              <w:spacing w:after="0" w:line="240" w:lineRule="auto"/>
              <w:rPr>
                <w:rFonts w:hint="default" w:ascii="Verdana" w:hAnsi="Verdana" w:cs="Verdana"/>
                <w:i/>
                <w:sz w:val="18"/>
                <w:szCs w:val="18"/>
              </w:rPr>
            </w:pPr>
          </w:p>
        </w:tc>
        <w:tc>
          <w:tcPr>
            <w:tcW w:w="4402" w:type="dxa"/>
            <w:shd w:val="clear" w:color="auto" w:fill="auto"/>
            <w:noWrap w:val="0"/>
            <w:vAlign w:val="top"/>
          </w:tcPr>
          <w:p>
            <w:pPr>
              <w:spacing w:after="0" w:line="240" w:lineRule="auto"/>
              <w:rPr>
                <w:rFonts w:hint="default" w:ascii="Verdana" w:hAnsi="Verdana" w:cs="Verdan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7" w:type="dxa"/>
            <w:shd w:val="clear" w:color="auto" w:fill="auto"/>
            <w:noWrap w:val="0"/>
            <w:vAlign w:val="top"/>
          </w:tcPr>
          <w:p>
            <w:pPr>
              <w:spacing w:after="0" w:line="240" w:lineRule="auto"/>
              <w:rPr>
                <w:rFonts w:hint="default" w:ascii="Verdana" w:hAnsi="Verdana" w:cs="Verdana"/>
                <w:b/>
                <w:i/>
                <w:sz w:val="18"/>
                <w:szCs w:val="18"/>
              </w:rPr>
            </w:pPr>
            <w:r>
              <w:rPr>
                <w:rFonts w:hint="default" w:ascii="Verdana" w:hAnsi="Verdana" w:cs="Verdana"/>
                <w:sz w:val="18"/>
                <w:szCs w:val="18"/>
              </w:rPr>
              <w:t>Unitățile sanitare partenere vor fi notificate în scris de către operatorul economic cu privire la încadrarea în cadrul proiectului.</w:t>
            </w:r>
          </w:p>
        </w:tc>
        <w:tc>
          <w:tcPr>
            <w:tcW w:w="4402" w:type="dxa"/>
            <w:shd w:val="clear" w:color="auto" w:fill="auto"/>
            <w:noWrap w:val="0"/>
            <w:vAlign w:val="top"/>
          </w:tcPr>
          <w:p>
            <w:pPr>
              <w:spacing w:after="0" w:line="240" w:lineRule="auto"/>
              <w:rPr>
                <w:rFonts w:hint="default" w:ascii="Verdana" w:hAnsi="Verdana" w:cs="Verdan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917" w:type="dxa"/>
            <w:shd w:val="clear" w:color="auto" w:fill="auto"/>
            <w:noWrap w:val="0"/>
            <w:vAlign w:val="top"/>
          </w:tcPr>
          <w:p>
            <w:pPr>
              <w:pStyle w:val="2"/>
              <w:ind w:right="113"/>
              <w:rPr>
                <w:rFonts w:hint="default" w:ascii="Verdana" w:hAnsi="Verdana" w:cs="Verdana"/>
                <w:sz w:val="18"/>
                <w:szCs w:val="18"/>
              </w:rPr>
            </w:pPr>
            <w:r>
              <w:rPr>
                <w:rFonts w:hint="default" w:ascii="Verdana" w:hAnsi="Verdana" w:cs="Verdana"/>
                <w:sz w:val="18"/>
                <w:szCs w:val="18"/>
              </w:rPr>
              <w:t>Prestatorul va avea obligația să afișeze lista unităților sanitare partenere în proiect pe site-ul propriu și să se asigure că unitățile sanitare afișează pe propriile site-uri participarea la proiect.</w:t>
            </w:r>
          </w:p>
          <w:p>
            <w:pPr>
              <w:suppressAutoHyphens w:val="0"/>
              <w:spacing w:after="0" w:line="240" w:lineRule="auto"/>
              <w:jc w:val="both"/>
              <w:rPr>
                <w:rFonts w:hint="default" w:ascii="Verdana" w:hAnsi="Verdana" w:cs="Verdana"/>
                <w:i/>
                <w:sz w:val="18"/>
                <w:szCs w:val="18"/>
              </w:rPr>
            </w:pPr>
          </w:p>
        </w:tc>
        <w:tc>
          <w:tcPr>
            <w:tcW w:w="4402" w:type="dxa"/>
            <w:shd w:val="clear" w:color="auto" w:fill="auto"/>
            <w:noWrap w:val="0"/>
            <w:vAlign w:val="top"/>
          </w:tcPr>
          <w:p>
            <w:pPr>
              <w:spacing w:after="0" w:line="240" w:lineRule="auto"/>
              <w:rPr>
                <w:rFonts w:hint="default" w:ascii="Verdana" w:hAnsi="Verdana" w:cs="Verdan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917" w:type="dxa"/>
            <w:shd w:val="clear" w:color="auto" w:fill="auto"/>
            <w:noWrap w:val="0"/>
            <w:vAlign w:val="top"/>
          </w:tcPr>
          <w:p>
            <w:pPr>
              <w:pStyle w:val="2"/>
              <w:ind w:right="113"/>
              <w:rPr>
                <w:rFonts w:hint="default" w:ascii="Verdana" w:hAnsi="Verdana" w:cs="Verdana"/>
                <w:sz w:val="18"/>
                <w:szCs w:val="18"/>
              </w:rPr>
            </w:pPr>
            <w:r>
              <w:rPr>
                <w:rFonts w:hint="default" w:ascii="Verdana" w:hAnsi="Verdana" w:cs="Verdana"/>
                <w:sz w:val="18"/>
                <w:szCs w:val="18"/>
              </w:rPr>
              <w:t>În contractele încheiate cu unitățile sanitare vor fi incluse cel puțin următoarele obligații pentru acestea:</w:t>
            </w:r>
          </w:p>
          <w:p>
            <w:pPr>
              <w:pStyle w:val="2"/>
              <w:ind w:right="113"/>
              <w:rPr>
                <w:rFonts w:hint="default" w:ascii="Verdana" w:hAnsi="Verdana" w:cs="Verdana"/>
                <w:sz w:val="18"/>
                <w:szCs w:val="18"/>
              </w:rPr>
            </w:pPr>
            <w:r>
              <w:rPr>
                <w:rFonts w:hint="default" w:ascii="Verdana" w:hAnsi="Verdana" w:cs="Verdana"/>
                <w:sz w:val="18"/>
                <w:szCs w:val="18"/>
              </w:rPr>
              <w:t>- afișarea la sediul în care se realizează procedurile de fertilizare in vitro și embriotransfer, precum și pe pagina web proprie, a următoarelor informații: lista personalului medical implicat în efectuarea procedurilor desfășurate în cadrul proiectului “INFANT”, bugetul maxim alocat/beneficiar -un (1) voucher în valoare de 10.000 lei și tarifele practicate pentru fiecare procedură;</w:t>
            </w:r>
          </w:p>
          <w:p>
            <w:pPr>
              <w:pStyle w:val="2"/>
              <w:ind w:right="113"/>
              <w:rPr>
                <w:rFonts w:hint="default" w:ascii="Verdana" w:hAnsi="Verdana" w:cs="Verdana"/>
                <w:sz w:val="18"/>
                <w:szCs w:val="18"/>
              </w:rPr>
            </w:pPr>
            <w:r>
              <w:rPr>
                <w:rFonts w:hint="default" w:ascii="Verdana" w:hAnsi="Verdana" w:cs="Verdana"/>
                <w:sz w:val="18"/>
                <w:szCs w:val="18"/>
              </w:rPr>
              <w:t xml:space="preserve">- contravaloarea  altor  servicii  medicale  efectuate  la  recomandarea  specialiștilor în scopul evaluării suplimentare, îmbunătățirii ratei de succes sau prevenirii unor complicații se suportă de către beneficiari la tarifele stabilite de unitatea sanitară și afișate la loc vizibil, pentru care se eliberează documentul fiscal, conform prevederilor legale în vigoare, cu indicarea serviciului prestat. Aceste activități se realizează numai în condițiile în care beneficiarii au fost informați că nu există bază legală pentru rambursarea acestor servicii din bugetul proiectului și își asumă, în scris, plata contravalorii acestora;   </w:t>
            </w:r>
          </w:p>
          <w:p>
            <w:pPr>
              <w:pStyle w:val="2"/>
              <w:ind w:right="113"/>
              <w:rPr>
                <w:rFonts w:hint="default" w:ascii="Verdana" w:hAnsi="Verdana" w:cs="Verdana"/>
                <w:sz w:val="18"/>
                <w:szCs w:val="18"/>
              </w:rPr>
            </w:pPr>
            <w:r>
              <w:rPr>
                <w:rFonts w:hint="default" w:ascii="Verdana" w:hAnsi="Verdana" w:cs="Verdana"/>
                <w:sz w:val="18"/>
                <w:szCs w:val="18"/>
              </w:rPr>
              <w:t>- lista serviciilor medicale care nu fac obiectul rambursării din fondurile alocate proiectului, cuprinde, fără a se limita la acestea: investigații paraclinice preliminare (stabilite de fiecare unitate sanitară conform propriului protocol, dacă sunt depistate afecțiuni ce pot afecta evoluția tratamentului sau sarcinii), diagnostic genetic al embrionilor, crioconservarea ovocitelor, spermei sau embrionilor și recoltarea chirurgicală a spermatozoizilor;</w:t>
            </w:r>
          </w:p>
          <w:p>
            <w:pPr>
              <w:pStyle w:val="2"/>
              <w:ind w:right="113"/>
              <w:rPr>
                <w:rFonts w:hint="default" w:ascii="Verdana" w:hAnsi="Verdana" w:cs="Verdana"/>
                <w:sz w:val="18"/>
                <w:szCs w:val="18"/>
              </w:rPr>
            </w:pPr>
            <w:r>
              <w:rPr>
                <w:rFonts w:hint="default" w:ascii="Verdana" w:hAnsi="Verdana" w:cs="Verdana"/>
                <w:sz w:val="18"/>
                <w:szCs w:val="18"/>
              </w:rPr>
              <w:t>- în situația în care costul pentru activitățile medicale, așa cum sunt descrise la art.5.2 din regulament este mai mic decât valoarea voucherului (10.000 lei), beneficiarul sprijinului acordat prin proiect nu va primi rest în bani;</w:t>
            </w:r>
          </w:p>
          <w:p>
            <w:pPr>
              <w:pStyle w:val="2"/>
              <w:ind w:right="113"/>
              <w:rPr>
                <w:rFonts w:hint="default" w:ascii="Verdana" w:hAnsi="Verdana" w:cs="Verdana"/>
                <w:sz w:val="18"/>
                <w:szCs w:val="18"/>
              </w:rPr>
            </w:pPr>
            <w:r>
              <w:rPr>
                <w:rFonts w:hint="default" w:ascii="Verdana" w:hAnsi="Verdana" w:cs="Verdana"/>
                <w:sz w:val="18"/>
                <w:szCs w:val="18"/>
              </w:rPr>
              <w:t>- în situația în care costul pentru activitățile medicale, așa cum sunt descrise la art.5.2 din regulament este mai mare decât valoarea voucherului (10.000 lei), beneficiarul sprijinului acordat prin proiect va suporta diferența de cost;</w:t>
            </w:r>
          </w:p>
          <w:p>
            <w:pPr>
              <w:pStyle w:val="2"/>
              <w:ind w:right="113"/>
              <w:rPr>
                <w:rFonts w:hint="default" w:ascii="Verdana" w:hAnsi="Verdana" w:cs="Verdana"/>
                <w:sz w:val="18"/>
                <w:szCs w:val="18"/>
              </w:rPr>
            </w:pPr>
            <w:r>
              <w:rPr>
                <w:rFonts w:hint="default" w:ascii="Verdana" w:hAnsi="Verdana" w:cs="Verdana"/>
                <w:sz w:val="18"/>
                <w:szCs w:val="18"/>
              </w:rPr>
              <w:t>- să elibereze adeverința (formularul 1) prevăzută în regulament prin care atestă că solicitanții sunt eligibili pentru intrarea în proiect – parafată de medicul specialist și de reprezentantul legal al unității sanitare partenere;</w:t>
            </w:r>
          </w:p>
          <w:p>
            <w:pPr>
              <w:pStyle w:val="2"/>
              <w:ind w:right="113"/>
              <w:rPr>
                <w:rFonts w:hint="default" w:ascii="Verdana" w:hAnsi="Verdana" w:cs="Verdana"/>
                <w:sz w:val="18"/>
                <w:szCs w:val="18"/>
              </w:rPr>
            </w:pPr>
            <w:r>
              <w:rPr>
                <w:rFonts w:hint="default" w:ascii="Verdana" w:hAnsi="Verdana" w:cs="Verdana"/>
                <w:sz w:val="18"/>
                <w:szCs w:val="18"/>
              </w:rPr>
              <w:t>- să notifice în scris prestatorul și DGAS în situația în care nu a fost inițiat protocolul de stimulare ovariană în termen de 120 zile de la data eliberării voucherului;</w:t>
            </w:r>
          </w:p>
          <w:p>
            <w:pPr>
              <w:pStyle w:val="2"/>
              <w:ind w:right="113"/>
              <w:rPr>
                <w:rFonts w:hint="default" w:ascii="Verdana" w:hAnsi="Verdana" w:cs="Verdana"/>
                <w:sz w:val="18"/>
                <w:szCs w:val="18"/>
              </w:rPr>
            </w:pPr>
            <w:r>
              <w:rPr>
                <w:rFonts w:hint="default" w:ascii="Verdana" w:hAnsi="Verdana" w:cs="Verdana"/>
                <w:sz w:val="18"/>
                <w:szCs w:val="18"/>
              </w:rPr>
              <w:t>- să notifice în scris prestatorul și DGAS în cazul lipsei de răspuns la tratamentul de stimulare ovariană;</w:t>
            </w:r>
          </w:p>
          <w:p>
            <w:pPr>
              <w:pStyle w:val="2"/>
              <w:ind w:right="113"/>
              <w:rPr>
                <w:rFonts w:hint="default" w:ascii="Verdana" w:hAnsi="Verdana" w:cs="Verdana"/>
                <w:sz w:val="18"/>
                <w:szCs w:val="18"/>
              </w:rPr>
            </w:pPr>
            <w:r>
              <w:rPr>
                <w:rFonts w:hint="default" w:ascii="Verdana" w:hAnsi="Verdana" w:cs="Verdana"/>
                <w:sz w:val="18"/>
                <w:szCs w:val="18"/>
              </w:rPr>
              <w:t>- să notifice în scris prestatorul și DGAS în situația în care, în urma puncției ovariene, ovocitele nu se fertilizează sau nu există embrioni transferabili;</w:t>
            </w:r>
          </w:p>
          <w:p>
            <w:pPr>
              <w:pStyle w:val="2"/>
              <w:ind w:right="113"/>
              <w:rPr>
                <w:rFonts w:hint="default" w:ascii="Verdana" w:hAnsi="Verdana" w:cs="Verdana"/>
                <w:sz w:val="18"/>
                <w:szCs w:val="18"/>
              </w:rPr>
            </w:pPr>
            <w:r>
              <w:rPr>
                <w:rFonts w:hint="default" w:ascii="Verdana" w:hAnsi="Verdana" w:cs="Verdana"/>
                <w:sz w:val="18"/>
                <w:szCs w:val="18"/>
              </w:rPr>
              <w:t>- să notifice în scris prestatorul și DGAS în situația în care solicitantul a notificat unitatea sanitară că a renunțat la efectuarea procedurii de fertilizare in vitro;</w:t>
            </w:r>
          </w:p>
          <w:p>
            <w:pPr>
              <w:pStyle w:val="2"/>
              <w:ind w:right="113"/>
              <w:rPr>
                <w:rFonts w:hint="default" w:ascii="Verdana" w:hAnsi="Verdana" w:cs="Verdana"/>
                <w:sz w:val="18"/>
                <w:szCs w:val="18"/>
              </w:rPr>
            </w:pPr>
            <w:r>
              <w:rPr>
                <w:rFonts w:hint="default" w:ascii="Verdana" w:hAnsi="Verdana" w:cs="Verdana"/>
                <w:sz w:val="18"/>
                <w:szCs w:val="18"/>
              </w:rPr>
              <w:t>- să interzică beneficiarului schimbarea unității sanitare pentru care a optat.</w:t>
            </w:r>
          </w:p>
          <w:p>
            <w:pPr>
              <w:suppressAutoHyphens w:val="0"/>
              <w:spacing w:after="0" w:line="240" w:lineRule="auto"/>
              <w:jc w:val="both"/>
              <w:rPr>
                <w:rFonts w:hint="default" w:ascii="Verdana" w:hAnsi="Verdana" w:cs="Verdana"/>
                <w:i/>
                <w:sz w:val="18"/>
                <w:szCs w:val="18"/>
              </w:rPr>
            </w:pPr>
          </w:p>
        </w:tc>
        <w:tc>
          <w:tcPr>
            <w:tcW w:w="4402" w:type="dxa"/>
            <w:shd w:val="clear" w:color="auto" w:fill="auto"/>
            <w:noWrap w:val="0"/>
            <w:vAlign w:val="top"/>
          </w:tcPr>
          <w:p>
            <w:pPr>
              <w:spacing w:after="0" w:line="240" w:lineRule="auto"/>
              <w:rPr>
                <w:rFonts w:hint="default" w:ascii="Verdana" w:hAnsi="Verdana" w:cs="Verdana"/>
                <w:b/>
                <w:sz w:val="18"/>
                <w:szCs w:val="18"/>
              </w:rPr>
            </w:pPr>
          </w:p>
        </w:tc>
      </w:tr>
    </w:tbl>
    <w:p>
      <w:pPr>
        <w:numPr>
          <w:numId w:val="0"/>
        </w:numPr>
        <w:ind w:left="360" w:leftChars="0"/>
        <w:rPr>
          <w:rFonts w:hint="default" w:ascii="Verdana" w:hAnsi="Verdana" w:cs="Verdana"/>
          <w:sz w:val="18"/>
          <w:szCs w:val="18"/>
          <w:lang w:val="ro-RO"/>
        </w:rPr>
      </w:pPr>
    </w:p>
    <w:p>
      <w:pPr>
        <w:numPr>
          <w:ilvl w:val="0"/>
          <w:numId w:val="1"/>
        </w:numPr>
        <w:ind w:left="720" w:leftChars="0" w:hanging="360" w:firstLineChars="0"/>
        <w:rPr>
          <w:rFonts w:hint="default" w:ascii="Verdana" w:hAnsi="Verdana" w:cs="Verdana"/>
          <w:sz w:val="18"/>
          <w:szCs w:val="18"/>
          <w:lang w:val="ro-RO"/>
        </w:rPr>
      </w:pPr>
      <w:r>
        <w:rPr>
          <w:rFonts w:hint="default" w:ascii="Verdana" w:hAnsi="Verdana" w:cs="Verdana"/>
          <w:sz w:val="18"/>
          <w:szCs w:val="18"/>
          <w:lang w:val="ro-RO"/>
        </w:rPr>
        <w:t>Decontarea voucherelor INFANT inaintate de catre afiliati:</w:t>
      </w:r>
    </w:p>
    <w:p>
      <w:pPr>
        <w:numPr>
          <w:numId w:val="0"/>
        </w:numPr>
        <w:suppressAutoHyphens/>
        <w:spacing w:after="200" w:line="276" w:lineRule="auto"/>
        <w:rPr>
          <w:rFonts w:hint="default" w:ascii="Verdana" w:hAnsi="Verdana" w:cs="Verdana"/>
          <w:sz w:val="18"/>
          <w:szCs w:val="18"/>
          <w:lang w:val="ro-RO"/>
        </w:rPr>
      </w:pPr>
    </w:p>
    <w:tbl>
      <w:tblPr>
        <w:tblStyle w:val="5"/>
        <w:tblW w:w="10340"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8"/>
        <w:gridCol w:w="4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8" w:type="dxa"/>
            <w:shd w:val="clear" w:color="auto" w:fill="auto"/>
            <w:noWrap w:val="0"/>
            <w:vAlign w:val="top"/>
          </w:tcPr>
          <w:p>
            <w:pPr>
              <w:spacing w:after="0" w:line="240" w:lineRule="auto"/>
              <w:rPr>
                <w:rFonts w:hint="default" w:ascii="Verdana" w:hAnsi="Verdana" w:cs="Verdana"/>
                <w:b/>
                <w:sz w:val="18"/>
                <w:szCs w:val="18"/>
              </w:rPr>
            </w:pPr>
            <w:r>
              <w:rPr>
                <w:rFonts w:hint="default" w:ascii="Verdana" w:hAnsi="Verdana" w:cs="Verdana"/>
                <w:b/>
                <w:sz w:val="18"/>
                <w:szCs w:val="18"/>
              </w:rPr>
              <w:t>Specificatii tehnice solicitate</w:t>
            </w:r>
          </w:p>
        </w:tc>
        <w:tc>
          <w:tcPr>
            <w:tcW w:w="4392" w:type="dxa"/>
            <w:shd w:val="clear" w:color="auto" w:fill="auto"/>
            <w:noWrap w:val="0"/>
            <w:vAlign w:val="top"/>
          </w:tcPr>
          <w:p>
            <w:pPr>
              <w:spacing w:after="0" w:line="240" w:lineRule="auto"/>
              <w:rPr>
                <w:rFonts w:hint="default" w:ascii="Verdana" w:hAnsi="Verdana" w:cs="Verdana"/>
                <w:b/>
                <w:sz w:val="18"/>
                <w:szCs w:val="18"/>
              </w:rPr>
            </w:pPr>
            <w:r>
              <w:rPr>
                <w:rFonts w:hint="default" w:ascii="Verdana" w:hAnsi="Verdana" w:cs="Verdana"/>
                <w:b/>
                <w:sz w:val="18"/>
                <w:szCs w:val="18"/>
              </w:rPr>
              <w:t>Specificatii tehnice conformitate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8" w:type="dxa"/>
            <w:shd w:val="clear" w:color="auto" w:fill="auto"/>
            <w:noWrap w:val="0"/>
            <w:vAlign w:val="top"/>
          </w:tcPr>
          <w:p>
            <w:pPr>
              <w:ind w:right="6"/>
              <w:jc w:val="both"/>
              <w:rPr>
                <w:lang w:bidi="ar-SA"/>
              </w:rPr>
            </w:pPr>
            <w:r>
              <w:rPr>
                <w:lang w:bidi="ar-SA"/>
              </w:rPr>
              <w:t>Se vor deconta doar cheltuielile pentru intervenția medicală specifică pentru care</w:t>
            </w:r>
            <w:r>
              <w:rPr>
                <w:b/>
                <w:lang w:bidi="ar-SA"/>
              </w:rPr>
              <w:t xml:space="preserve"> </w:t>
            </w:r>
            <w:r>
              <w:rPr>
                <w:lang w:bidi="ar-SA"/>
              </w:rPr>
              <w:t>s-a acordat voucherul.</w:t>
            </w:r>
          </w:p>
          <w:p>
            <w:pPr>
              <w:spacing w:after="0" w:line="240" w:lineRule="auto"/>
              <w:rPr>
                <w:rFonts w:hint="default" w:ascii="Verdana" w:hAnsi="Verdana" w:cs="Verdana"/>
                <w:b/>
                <w:i/>
                <w:sz w:val="18"/>
                <w:szCs w:val="18"/>
                <w:lang w:val="ro-RO"/>
              </w:rPr>
            </w:pPr>
          </w:p>
        </w:tc>
        <w:tc>
          <w:tcPr>
            <w:tcW w:w="4392" w:type="dxa"/>
            <w:shd w:val="clear" w:color="auto" w:fill="auto"/>
            <w:noWrap w:val="0"/>
            <w:vAlign w:val="top"/>
          </w:tcPr>
          <w:p>
            <w:pPr>
              <w:spacing w:after="0" w:line="240" w:lineRule="auto"/>
              <w:rPr>
                <w:rFonts w:hint="default" w:ascii="Verdana" w:hAnsi="Verdana" w:cs="Verdan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8" w:type="dxa"/>
            <w:shd w:val="clear" w:color="auto" w:fill="auto"/>
            <w:noWrap w:val="0"/>
            <w:vAlign w:val="top"/>
          </w:tcPr>
          <w:p>
            <w:pPr>
              <w:ind w:right="6"/>
              <w:jc w:val="both"/>
              <w:rPr>
                <w:lang w:bidi="ar-SA"/>
              </w:rPr>
            </w:pPr>
            <w:r>
              <w:rPr>
                <w:lang w:bidi="ar-SA"/>
              </w:rPr>
              <w:t xml:space="preserve">Unitatea sanitară parteneră înaintează lunar, până la data de 5 a lunii în </w:t>
            </w:r>
            <w:bookmarkStart w:id="0" w:name="page14"/>
            <w:bookmarkEnd w:id="0"/>
            <w:r>
              <w:rPr>
                <w:lang w:bidi="ar-SA"/>
              </w:rPr>
              <w:t>curs pentru luna precedentă, către operatorul economic cu care are încheiat contract de afiliere, factura însoțită de documente justificative privind intervențiile medicale efectuate.</w:t>
            </w:r>
          </w:p>
          <w:p>
            <w:pPr>
              <w:spacing w:after="0" w:line="240" w:lineRule="auto"/>
              <w:rPr>
                <w:rFonts w:hint="default" w:ascii="Verdana" w:hAnsi="Verdana" w:cs="Verdana"/>
                <w:i/>
                <w:sz w:val="18"/>
                <w:szCs w:val="18"/>
              </w:rPr>
            </w:pPr>
          </w:p>
        </w:tc>
        <w:tc>
          <w:tcPr>
            <w:tcW w:w="4392" w:type="dxa"/>
            <w:shd w:val="clear" w:color="auto" w:fill="auto"/>
            <w:noWrap w:val="0"/>
            <w:vAlign w:val="top"/>
          </w:tcPr>
          <w:p>
            <w:pPr>
              <w:spacing w:after="0" w:line="240" w:lineRule="auto"/>
              <w:rPr>
                <w:rFonts w:hint="default" w:ascii="Verdana" w:hAnsi="Verdana" w:cs="Verdan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8" w:type="dxa"/>
            <w:shd w:val="clear" w:color="auto" w:fill="auto"/>
            <w:noWrap w:val="0"/>
            <w:vAlign w:val="top"/>
          </w:tcPr>
          <w:p>
            <w:pPr>
              <w:spacing w:after="0" w:line="240" w:lineRule="auto"/>
              <w:rPr>
                <w:rFonts w:hint="default" w:ascii="Verdana" w:hAnsi="Verdana" w:cs="Verdana"/>
                <w:b/>
                <w:i/>
                <w:sz w:val="18"/>
                <w:szCs w:val="18"/>
              </w:rPr>
            </w:pPr>
            <w:r>
              <w:rPr>
                <w:lang w:bidi="ar-SA"/>
              </w:rPr>
              <w:t>Până la data de 8 a lunii operatorul economic transmite către DGAS un centralizator privind voucherele primite de la afiliați, împreună cu deconturile detaliate/beneficiar, copii ale facturilor conform cu originalul și copii ale voucherelor conform cu originalul, pentru fiecare beneficiar în parte, acordate în luna anterioară.</w:t>
            </w:r>
          </w:p>
        </w:tc>
        <w:tc>
          <w:tcPr>
            <w:tcW w:w="4392" w:type="dxa"/>
            <w:shd w:val="clear" w:color="auto" w:fill="auto"/>
            <w:noWrap w:val="0"/>
            <w:vAlign w:val="top"/>
          </w:tcPr>
          <w:p>
            <w:pPr>
              <w:spacing w:after="0" w:line="240" w:lineRule="auto"/>
              <w:rPr>
                <w:rFonts w:hint="default" w:ascii="Verdana" w:hAnsi="Verdana" w:cs="Verdan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948" w:type="dxa"/>
            <w:shd w:val="clear" w:color="auto" w:fill="auto"/>
            <w:noWrap w:val="0"/>
            <w:vAlign w:val="top"/>
          </w:tcPr>
          <w:p>
            <w:pPr>
              <w:ind w:right="6"/>
              <w:jc w:val="both"/>
              <w:rPr>
                <w:lang w:bidi="ar-SA"/>
              </w:rPr>
            </w:pPr>
            <w:r>
              <w:rPr>
                <w:lang w:bidi="ar-SA"/>
              </w:rPr>
              <w:t>Unitate de Implementare Proiect verifică realitatea, regularitatea și legalitatea documentelor privind decontul/beneficiar și dă bun de plată și CFP. Ulterior, operatorul economic va fi notificat privind suma ce va trebui plătită de către acesta unităților sanitare pentru fiecare beneficiar în parte.</w:t>
            </w:r>
          </w:p>
          <w:p>
            <w:pPr>
              <w:suppressAutoHyphens w:val="0"/>
              <w:spacing w:after="0" w:line="240" w:lineRule="auto"/>
              <w:jc w:val="both"/>
              <w:rPr>
                <w:rFonts w:hint="default" w:ascii="Verdana" w:hAnsi="Verdana" w:cs="Verdana"/>
                <w:i/>
                <w:sz w:val="18"/>
                <w:szCs w:val="18"/>
              </w:rPr>
            </w:pPr>
          </w:p>
        </w:tc>
        <w:tc>
          <w:tcPr>
            <w:tcW w:w="4392" w:type="dxa"/>
            <w:shd w:val="clear" w:color="auto" w:fill="auto"/>
            <w:noWrap w:val="0"/>
            <w:vAlign w:val="top"/>
          </w:tcPr>
          <w:p>
            <w:pPr>
              <w:spacing w:after="0" w:line="240" w:lineRule="auto"/>
              <w:rPr>
                <w:rFonts w:hint="default" w:ascii="Verdana" w:hAnsi="Verdana" w:cs="Verdan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948" w:type="dxa"/>
            <w:shd w:val="clear" w:color="auto" w:fill="auto"/>
            <w:noWrap w:val="0"/>
            <w:vAlign w:val="top"/>
          </w:tcPr>
          <w:p>
            <w:pPr>
              <w:ind w:right="6"/>
              <w:jc w:val="both"/>
              <w:rPr>
                <w:lang w:bidi="ar-SA"/>
              </w:rPr>
            </w:pPr>
            <w:r>
              <w:rPr>
                <w:lang w:bidi="ar-SA"/>
              </w:rPr>
              <w:t>Operatorul economic nu va deconta nici o cheltuială fără notificare scrisă din partea DGAS. Orice operațiune financiară în acest sens, fără aprobarea prealabilă, este imputabila operatorului economic, DGAS rezervându-și dreptul de a nu deconta.</w:t>
            </w:r>
          </w:p>
          <w:p>
            <w:pPr>
              <w:suppressAutoHyphens w:val="0"/>
              <w:spacing w:after="0" w:line="240" w:lineRule="auto"/>
              <w:jc w:val="both"/>
              <w:rPr>
                <w:rFonts w:hint="default" w:ascii="Verdana" w:hAnsi="Verdana" w:cs="Verdana"/>
                <w:i/>
                <w:sz w:val="18"/>
                <w:szCs w:val="18"/>
              </w:rPr>
            </w:pPr>
          </w:p>
        </w:tc>
        <w:tc>
          <w:tcPr>
            <w:tcW w:w="4392" w:type="dxa"/>
            <w:shd w:val="clear" w:color="auto" w:fill="auto"/>
            <w:noWrap w:val="0"/>
            <w:vAlign w:val="top"/>
          </w:tcPr>
          <w:p>
            <w:pPr>
              <w:spacing w:after="0" w:line="240" w:lineRule="auto"/>
              <w:rPr>
                <w:rFonts w:hint="default" w:ascii="Verdana" w:hAnsi="Verdana" w:cs="Verdan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948" w:type="dxa"/>
            <w:shd w:val="clear" w:color="auto" w:fill="auto"/>
            <w:noWrap w:val="0"/>
            <w:vAlign w:val="top"/>
          </w:tcPr>
          <w:p>
            <w:pPr>
              <w:tabs>
                <w:tab w:val="left" w:pos="720"/>
              </w:tabs>
              <w:ind w:right="6"/>
              <w:jc w:val="both"/>
              <w:rPr>
                <w:lang w:bidi="ar-SA"/>
              </w:rPr>
            </w:pPr>
            <w:r>
              <w:rPr>
                <w:lang w:bidi="ar-SA"/>
              </w:rPr>
              <w:t>În situația în care, în urma puncției ovariene, ovocitele nu se fertilizează sau nu există embrioni, pacienta nu mai beneficiază din partea clinicii de embriotransfer. Unitatea medicală va putea factura și deconta doar procedurile realizate până la acest punct. Operatorul economic are obligația de a restitui către DGAS diferența dintre valoarea nominală a voucherului și suma neutilizată pentru decontarea activităților medicale prevăzute la art.5.2. din regulament în termen de 10 zile.</w:t>
            </w:r>
          </w:p>
          <w:p>
            <w:pPr>
              <w:suppressAutoHyphens w:val="0"/>
              <w:spacing w:after="0" w:line="240" w:lineRule="auto"/>
              <w:jc w:val="both"/>
              <w:rPr>
                <w:rFonts w:hint="default" w:ascii="Verdana" w:hAnsi="Verdana" w:cs="Verdana"/>
                <w:i/>
                <w:sz w:val="18"/>
                <w:szCs w:val="18"/>
              </w:rPr>
            </w:pPr>
          </w:p>
        </w:tc>
        <w:tc>
          <w:tcPr>
            <w:tcW w:w="4392" w:type="dxa"/>
            <w:shd w:val="clear" w:color="auto" w:fill="auto"/>
            <w:noWrap w:val="0"/>
            <w:vAlign w:val="top"/>
          </w:tcPr>
          <w:p>
            <w:pPr>
              <w:spacing w:after="0" w:line="240" w:lineRule="auto"/>
              <w:rPr>
                <w:rFonts w:hint="default" w:ascii="Verdana" w:hAnsi="Verdana" w:cs="Verdana"/>
                <w:b/>
                <w:sz w:val="18"/>
                <w:szCs w:val="18"/>
              </w:rPr>
            </w:pPr>
          </w:p>
        </w:tc>
      </w:tr>
    </w:tbl>
    <w:p>
      <w:pPr>
        <w:numPr>
          <w:numId w:val="0"/>
        </w:numPr>
        <w:suppressAutoHyphens/>
        <w:spacing w:after="200" w:line="276" w:lineRule="auto"/>
        <w:rPr>
          <w:rFonts w:hint="default" w:ascii="Verdana" w:hAnsi="Verdana" w:cs="Verdana"/>
          <w:sz w:val="18"/>
          <w:szCs w:val="18"/>
          <w:lang w:val="ro-RO"/>
        </w:rPr>
      </w:pPr>
    </w:p>
    <w:p>
      <w:pPr>
        <w:numPr>
          <w:numId w:val="0"/>
        </w:numPr>
        <w:ind w:left="360" w:leftChars="0"/>
        <w:rPr>
          <w:rFonts w:hint="default" w:ascii="Verdana" w:hAnsi="Verdana" w:cs="Verdana"/>
          <w:sz w:val="18"/>
          <w:szCs w:val="18"/>
          <w:lang w:val="ro-RO"/>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Verdana">
    <w:panose1 w:val="020B0604030504040204"/>
    <w:charset w:val="EE"/>
    <w:family w:val="swiss"/>
    <w:pitch w:val="default"/>
    <w:sig w:usb0="A00006FF" w:usb1="4000205B" w:usb2="00000010" w:usb3="00000000" w:csb0="2000019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F12C3"/>
    <w:multiLevelType w:val="multilevel"/>
    <w:tmpl w:val="4F2F12C3"/>
    <w:lvl w:ilvl="0" w:tentative="0">
      <w:start w:val="1"/>
      <w:numFmt w:val="decimal"/>
      <w:lvlText w:val="%1."/>
      <w:lvlJc w:val="left"/>
      <w:pPr>
        <w:ind w:left="720" w:hanging="360"/>
      </w:pPr>
      <w:rPr>
        <w:rFonts w:hint="default" w:ascii="Times New Roman" w:hAnsi="Times New Roman"/>
        <w:b w:val="0"/>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A0AD9"/>
    <w:rsid w:val="028E3270"/>
    <w:rsid w:val="7B7A0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pPr>
    <w:rPr>
      <w:rFonts w:ascii="Calibri" w:hAnsi="Calibri" w:eastAsia="Calibri" w:cs="Calibri"/>
      <w:sz w:val="22"/>
      <w:szCs w:val="22"/>
      <w:lang w:val="en-US" w:eastAsia="ar-SA"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both"/>
    </w:pPr>
    <w:rPr>
      <w:sz w:val="24"/>
      <w:lang w:val="en-GB"/>
    </w:rPr>
  </w:style>
  <w:style w:type="character" w:styleId="4">
    <w:name w:val="Hyperlink"/>
    <w:uiPriority w:val="0"/>
    <w:rPr>
      <w:color w:val="00008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Office_11.2.0.9169_F1E327BC-269C-435d-A152-05C5408002CA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2020-03-12T11:29:00Z</dcterms:created>
  <dc:creator>google1568026144</dc:creator>
  <cp:lastModifiedBy>google1568026144</cp:lastModifiedBy>
  <dcterms:modified xsi:type="dcterms:W3CDTF">2020-03-12T12:00:46Z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2057-11.2.0.9169</vt:lpwstr>
  </property>
</Properties>
</file>